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F9" w:rsidRPr="00DB045F" w:rsidRDefault="002379F9" w:rsidP="002379F9">
      <w:pPr>
        <w:jc w:val="center"/>
        <w:rPr>
          <w:rFonts w:ascii="Arial" w:hAnsi="Arial" w:cs="Arial"/>
          <w:b/>
          <w:sz w:val="28"/>
          <w:szCs w:val="28"/>
        </w:rPr>
      </w:pPr>
      <w:r w:rsidRPr="00DB045F">
        <w:rPr>
          <w:rFonts w:ascii="Arial" w:hAnsi="Arial" w:cs="Arial"/>
          <w:b/>
          <w:sz w:val="28"/>
          <w:szCs w:val="28"/>
        </w:rPr>
        <w:t>Информация</w:t>
      </w:r>
    </w:p>
    <w:p w:rsidR="002379F9" w:rsidRPr="00DB045F" w:rsidRDefault="002379F9" w:rsidP="002379F9">
      <w:pPr>
        <w:spacing w:line="240" w:lineRule="auto"/>
        <w:ind w:firstLine="708"/>
        <w:rPr>
          <w:rFonts w:ascii="Arial" w:hAnsi="Arial" w:cs="Arial"/>
          <w:b/>
          <w:sz w:val="28"/>
          <w:szCs w:val="28"/>
        </w:rPr>
      </w:pPr>
      <w:r w:rsidRPr="00DB045F">
        <w:rPr>
          <w:rFonts w:ascii="Arial" w:hAnsi="Arial" w:cs="Arial"/>
          <w:b/>
          <w:sz w:val="28"/>
          <w:szCs w:val="28"/>
        </w:rPr>
        <w:t>По результатам  финансово-экономической  экспертизы пр</w:t>
      </w:r>
      <w:bookmarkStart w:id="0" w:name="_GoBack"/>
      <w:bookmarkEnd w:id="0"/>
      <w:r w:rsidRPr="00DB045F">
        <w:rPr>
          <w:rFonts w:ascii="Arial" w:hAnsi="Arial" w:cs="Arial"/>
          <w:b/>
          <w:sz w:val="28"/>
          <w:szCs w:val="28"/>
        </w:rPr>
        <w:t>оекта бюджета  муниципального образования «городской округ «город Клинцы Брянской области»  на 2020 год  и плановый период  2021 и 2022 годов установлено следующее.</w:t>
      </w:r>
    </w:p>
    <w:p w:rsidR="002379F9" w:rsidRPr="00C70552" w:rsidRDefault="002379F9" w:rsidP="002379F9">
      <w:pPr>
        <w:spacing w:before="100" w:beforeAutospacing="1"/>
        <w:ind w:right="-427"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0552">
        <w:rPr>
          <w:rFonts w:ascii="Arial" w:hAnsi="Arial" w:cs="Arial"/>
          <w:sz w:val="28"/>
          <w:szCs w:val="28"/>
        </w:rPr>
        <w:t>1.</w:t>
      </w:r>
      <w:r w:rsidRPr="00C70552">
        <w:rPr>
          <w:rFonts w:ascii="Arial" w:eastAsia="Times New Roman" w:hAnsi="Arial" w:cs="Arial"/>
          <w:sz w:val="28"/>
          <w:szCs w:val="28"/>
          <w:lang w:eastAsia="ru-RU"/>
        </w:rPr>
        <w:t xml:space="preserve"> За основу</w:t>
      </w:r>
      <w:r w:rsidRPr="00C70552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r w:rsidRPr="00C70552">
        <w:rPr>
          <w:rFonts w:ascii="Arial" w:eastAsia="Times New Roman" w:hAnsi="Arial" w:cs="Arial"/>
          <w:sz w:val="28"/>
          <w:szCs w:val="28"/>
          <w:lang w:eastAsia="ru-RU"/>
        </w:rPr>
        <w:t>прогноза социально-экономического развития взят базовый вариант прогноза. Пояснительная записка к прогнозу сформирована по показателям базового варианта прогноза.</w:t>
      </w:r>
    </w:p>
    <w:p w:rsidR="002379F9" w:rsidRPr="00C70552" w:rsidRDefault="002379F9" w:rsidP="002379F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70552">
        <w:rPr>
          <w:rFonts w:ascii="Arial" w:eastAsia="Times New Roman" w:hAnsi="Arial" w:cs="Arial"/>
          <w:sz w:val="28"/>
          <w:szCs w:val="28"/>
          <w:lang w:eastAsia="ru-RU"/>
        </w:rPr>
        <w:t xml:space="preserve">      Численность </w:t>
      </w:r>
      <w:proofErr w:type="gramStart"/>
      <w:r w:rsidRPr="00C70552">
        <w:rPr>
          <w:rFonts w:ascii="Arial" w:eastAsia="Times New Roman" w:hAnsi="Arial" w:cs="Arial"/>
          <w:sz w:val="28"/>
          <w:szCs w:val="28"/>
          <w:lang w:eastAsia="ru-RU"/>
        </w:rPr>
        <w:t>прибывших</w:t>
      </w:r>
      <w:proofErr w:type="gramEnd"/>
      <w:r w:rsidRPr="00C70552">
        <w:rPr>
          <w:rFonts w:ascii="Arial" w:eastAsia="Times New Roman" w:hAnsi="Arial" w:cs="Arial"/>
          <w:sz w:val="28"/>
          <w:szCs w:val="28"/>
          <w:lang w:eastAsia="ru-RU"/>
        </w:rPr>
        <w:t xml:space="preserve"> на территорию городского округа выше численности выбывших на 322 человека. В результате численность постоянного населения города за 2018 год  составила 70 089 человек, в среднегодовом исчислении 70 105 человек</w:t>
      </w:r>
    </w:p>
    <w:p w:rsidR="002379F9" w:rsidRPr="00C70552" w:rsidRDefault="002379F9" w:rsidP="002379F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0552">
        <w:rPr>
          <w:rFonts w:ascii="Arial" w:eastAsia="Times New Roman" w:hAnsi="Arial" w:cs="Arial"/>
          <w:sz w:val="28"/>
          <w:szCs w:val="28"/>
          <w:lang w:eastAsia="ru-RU"/>
        </w:rPr>
        <w:t xml:space="preserve">     Среднегодовая численность занятых в экономике городского округа на 1 января 2019 года составила 16 956 человек. К концу 2022 году ожидаемая численность составит 17 512 человек.</w:t>
      </w:r>
    </w:p>
    <w:p w:rsidR="002379F9" w:rsidRPr="00C70552" w:rsidRDefault="002379F9" w:rsidP="002379F9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C70552">
        <w:rPr>
          <w:rFonts w:ascii="Arial" w:eastAsia="Calibri" w:hAnsi="Arial" w:cs="Arial"/>
          <w:sz w:val="28"/>
          <w:szCs w:val="28"/>
        </w:rPr>
        <w:t xml:space="preserve">       Объем отгруженных товаров собственного производства за 9 месяцев 2019 года, выполненных работ и услуг собственными силами сложился в размере 6 761,0 млн. руб., что составило 113,4% к соответствующему периоду прошлого года. Рост этого показателя прогнозируется с  8 937,00 млн. руб. в 2019 году  до    10 291,0 млн. руб. в 2022 году.</w:t>
      </w:r>
    </w:p>
    <w:p w:rsidR="002379F9" w:rsidRPr="00C70552" w:rsidRDefault="002379F9" w:rsidP="002379F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0552">
        <w:rPr>
          <w:rFonts w:ascii="Arial" w:eastAsia="Times New Roman" w:hAnsi="Arial" w:cs="Arial"/>
          <w:sz w:val="28"/>
          <w:szCs w:val="28"/>
          <w:lang w:eastAsia="ru-RU"/>
        </w:rPr>
        <w:t xml:space="preserve">           Объем инвестиционных вложений  в основной капитал в 2019 году оценивается  в размере -405,3 млн. руб., из них за счет собственных сре</w:t>
      </w:r>
      <w:proofErr w:type="gramStart"/>
      <w:r w:rsidRPr="00C70552">
        <w:rPr>
          <w:rFonts w:ascii="Arial" w:eastAsia="Times New Roman" w:hAnsi="Arial" w:cs="Arial"/>
          <w:sz w:val="28"/>
          <w:szCs w:val="28"/>
          <w:lang w:eastAsia="ru-RU"/>
        </w:rPr>
        <w:t>дств пр</w:t>
      </w:r>
      <w:proofErr w:type="gramEnd"/>
      <w:r w:rsidRPr="00C70552">
        <w:rPr>
          <w:rFonts w:ascii="Arial" w:eastAsia="Times New Roman" w:hAnsi="Arial" w:cs="Arial"/>
          <w:sz w:val="28"/>
          <w:szCs w:val="28"/>
          <w:lang w:eastAsia="ru-RU"/>
        </w:rPr>
        <w:t>едприятий -337,8 млн. руб. и привлеченных средств 67,5 млн. руб.</w:t>
      </w:r>
    </w:p>
    <w:p w:rsidR="002379F9" w:rsidRPr="00C70552" w:rsidRDefault="002379F9" w:rsidP="002379F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0552">
        <w:rPr>
          <w:rFonts w:ascii="Arial" w:eastAsia="Times New Roman" w:hAnsi="Arial" w:cs="Arial"/>
          <w:sz w:val="28"/>
          <w:szCs w:val="28"/>
          <w:lang w:eastAsia="ru-RU"/>
        </w:rPr>
        <w:t xml:space="preserve">          Объем инвестиций прогнозируется с 398,0 млн.   руб. в 2020 году до  474,2 млн. руб. в 2022 году в сопоставимых ценах.</w:t>
      </w:r>
    </w:p>
    <w:p w:rsidR="002379F9" w:rsidRPr="00C70552" w:rsidRDefault="002379F9" w:rsidP="002379F9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C70552">
        <w:rPr>
          <w:rFonts w:ascii="Arial" w:eastAsia="Calibri" w:hAnsi="Arial" w:cs="Arial"/>
          <w:sz w:val="28"/>
          <w:szCs w:val="28"/>
        </w:rPr>
        <w:t>По состоянию на 1 января 2019 года   на территории городского округа осуществляли свою деятельность 2139 индивидуальных  предпринимателей и 340 малых и микро-предприятий. Среднесписочная численность работников (без внешних совместителей) занятых на данных предприятиях составила 4136 человек.</w:t>
      </w:r>
    </w:p>
    <w:p w:rsidR="002379F9" w:rsidRPr="00C70552" w:rsidRDefault="002379F9" w:rsidP="002379F9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C70552">
        <w:rPr>
          <w:rFonts w:ascii="Arial" w:eastAsia="Calibri" w:hAnsi="Arial" w:cs="Arial"/>
          <w:sz w:val="28"/>
          <w:szCs w:val="28"/>
        </w:rPr>
        <w:t>К концу  2019 г. ожидаемая численность малых и микро-предприятий составит 310, а численность работающих на этих предприятиях составит           4 220 человек.</w:t>
      </w:r>
    </w:p>
    <w:p w:rsidR="002379F9" w:rsidRPr="00C70552" w:rsidRDefault="002379F9" w:rsidP="002379F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0552">
        <w:rPr>
          <w:rFonts w:ascii="Arial" w:eastAsia="Times New Roman" w:hAnsi="Arial" w:cs="Arial"/>
          <w:sz w:val="28"/>
          <w:szCs w:val="28"/>
          <w:lang w:eastAsia="ru-RU"/>
        </w:rPr>
        <w:t xml:space="preserve">          В 2020- 2022 годах  прогнозируется ежегодное увеличение количества малых предприятий  на 0,3-0,6 %. в год, Среднемесячная численность, работников будет ежегодно увеличиваться и в 2022 году составит 4260 человек</w:t>
      </w:r>
      <w:r w:rsidRPr="00C70552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2379F9" w:rsidRPr="00C70552" w:rsidRDefault="002379F9" w:rsidP="002379F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0552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В 2020-2022 годах прогнозируется рост оборота малых предприятий на 4 процента. В 2022 году он составит 3,928 млн. руб. и увеличится к достигнутому в 2018 году на 17,3%.          </w:t>
      </w:r>
    </w:p>
    <w:p w:rsidR="002379F9" w:rsidRPr="00C70552" w:rsidRDefault="002379F9" w:rsidP="002379F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0552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Численность   </w:t>
      </w:r>
      <w:proofErr w:type="gramStart"/>
      <w:r w:rsidRPr="00C70552">
        <w:rPr>
          <w:rFonts w:ascii="Arial" w:eastAsia="Times New Roman" w:hAnsi="Arial" w:cs="Arial"/>
          <w:sz w:val="28"/>
          <w:szCs w:val="28"/>
          <w:lang w:eastAsia="ru-RU"/>
        </w:rPr>
        <w:t>безработных,  зарегистрированных  в службе  занятости на 1 октября  2019 года составляла</w:t>
      </w:r>
      <w:proofErr w:type="gramEnd"/>
      <w:r w:rsidRPr="00C70552">
        <w:rPr>
          <w:rFonts w:ascii="Arial" w:eastAsia="Times New Roman" w:hAnsi="Arial" w:cs="Arial"/>
          <w:sz w:val="28"/>
          <w:szCs w:val="28"/>
          <w:lang w:eastAsia="ru-RU"/>
        </w:rPr>
        <w:t xml:space="preserve">  316 человек, что на 7 человек больше аналогичного периода 2018 года. По прогнозу  численность  безработных к 2022 году сохранится в пределах 290 человек,  при уровне безработицы -0,8%%.</w:t>
      </w:r>
    </w:p>
    <w:p w:rsidR="002379F9" w:rsidRPr="00C70552" w:rsidRDefault="002379F9" w:rsidP="002379F9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C7055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  Ч</w:t>
      </w:r>
      <w:r w:rsidRPr="00C70552">
        <w:rPr>
          <w:rFonts w:ascii="Arial" w:eastAsia="Times New Roman" w:hAnsi="Arial" w:cs="Arial"/>
          <w:sz w:val="28"/>
          <w:szCs w:val="28"/>
          <w:lang w:eastAsia="ru-RU"/>
        </w:rPr>
        <w:t>исленность занятых в экономике в 2019 году составляла  15 700 человек. К концу</w:t>
      </w:r>
      <w:r w:rsidRPr="00C7055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2022 г. составит  15 860 человек.                </w:t>
      </w:r>
    </w:p>
    <w:p w:rsidR="002379F9" w:rsidRPr="00C70552" w:rsidRDefault="002379F9" w:rsidP="002379F9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C7055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</w:t>
      </w:r>
      <w:r w:rsidRPr="00C70552">
        <w:rPr>
          <w:rFonts w:ascii="Arial" w:eastAsia="Times New Roman" w:hAnsi="Arial" w:cs="Arial"/>
          <w:sz w:val="28"/>
          <w:szCs w:val="28"/>
          <w:lang w:eastAsia="ru-RU"/>
        </w:rPr>
        <w:t xml:space="preserve">   За  2019г. ожидаемая среднемесячная начисленная номинальная заработная плата одного работника (по крупным и средним   предприятиям) составит  в размере 25 697,00  рублей.</w:t>
      </w:r>
    </w:p>
    <w:p w:rsidR="002379F9" w:rsidRPr="00C70552" w:rsidRDefault="002379F9" w:rsidP="002379F9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C70552">
        <w:rPr>
          <w:rFonts w:ascii="Arial" w:eastAsia="Times New Roman" w:hAnsi="Arial" w:cs="Arial"/>
          <w:sz w:val="28"/>
          <w:szCs w:val="28"/>
          <w:lang w:eastAsia="ru-RU"/>
        </w:rPr>
        <w:t xml:space="preserve">          В пр</w:t>
      </w:r>
      <w:r w:rsidRPr="00C7055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огнозные годы также ожидается  рост заработной платы одного работника по </w:t>
      </w:r>
      <w:r w:rsidRPr="00C70552">
        <w:rPr>
          <w:rFonts w:ascii="Arial" w:eastAsia="Times New Roman" w:hAnsi="Arial" w:cs="Arial"/>
          <w:sz w:val="28"/>
          <w:szCs w:val="28"/>
          <w:lang w:eastAsia="ru-RU"/>
        </w:rPr>
        <w:t xml:space="preserve"> крупным и средним   предприятиям на 6,6 -7,6%. К концу 2022 года она составит 31 686,00 рублей.</w:t>
      </w:r>
      <w:r w:rsidRPr="00C7055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</w:t>
      </w:r>
    </w:p>
    <w:p w:rsidR="002379F9" w:rsidRPr="00C70552" w:rsidRDefault="002379F9" w:rsidP="002379F9">
      <w:pPr>
        <w:spacing w:after="0" w:line="240" w:lineRule="auto"/>
        <w:ind w:firstLine="76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0552">
        <w:rPr>
          <w:rFonts w:ascii="Arial" w:eastAsia="Times New Roman" w:hAnsi="Arial" w:cs="Arial"/>
          <w:sz w:val="28"/>
          <w:szCs w:val="28"/>
          <w:lang w:eastAsia="ru-RU"/>
        </w:rPr>
        <w:t>В 2019 году ожидаемый   оборот розничной торговли  в ценах соответствующих лет составит 4 830,00 млн. руб. К концу прогнозируемого периода в 2022 году оборот розничной торговли  составит 5,590 млн. руб. в действующих ценах к 2018 году составит 122,3%.</w:t>
      </w:r>
    </w:p>
    <w:p w:rsidR="002379F9" w:rsidRPr="00C70552" w:rsidRDefault="002379F9" w:rsidP="002379F9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055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Pr="00C70552">
        <w:rPr>
          <w:rFonts w:ascii="Arial" w:eastAsia="Times New Roman" w:hAnsi="Arial" w:cs="Arial"/>
          <w:sz w:val="28"/>
          <w:szCs w:val="28"/>
          <w:lang w:eastAsia="ru-RU"/>
        </w:rPr>
        <w:t>По оценке в 2019 году объем платных услуг населению составит 366 млн. 585тыс. руб. или 100,1 процента к уровню 2018 года (в сопоставимых ценах). В 2022 году прогнозируется рост объема платных услуг и достигнет 424 млн. 358 тыс. руб., что в действующих ценах к 2018 году составит                121,6 %.</w:t>
      </w:r>
    </w:p>
    <w:p w:rsidR="002379F9" w:rsidRPr="00C70552" w:rsidRDefault="002379F9" w:rsidP="002379F9">
      <w:pPr>
        <w:spacing w:line="240" w:lineRule="auto"/>
        <w:ind w:firstLine="708"/>
        <w:rPr>
          <w:rFonts w:ascii="Arial" w:hAnsi="Arial" w:cs="Arial"/>
          <w:sz w:val="28"/>
          <w:szCs w:val="28"/>
        </w:rPr>
      </w:pPr>
    </w:p>
    <w:p w:rsidR="00D452EC" w:rsidRPr="00C70552" w:rsidRDefault="002379F9" w:rsidP="002379F9">
      <w:pPr>
        <w:widowControl w:val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0552">
        <w:rPr>
          <w:rFonts w:ascii="Arial" w:hAnsi="Arial" w:cs="Arial"/>
          <w:sz w:val="28"/>
          <w:szCs w:val="28"/>
        </w:rPr>
        <w:t>2.</w:t>
      </w:r>
      <w:r w:rsidRPr="00C7055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gramStart"/>
      <w:r w:rsidR="00D1580B" w:rsidRPr="00C70552">
        <w:rPr>
          <w:rFonts w:ascii="Arial" w:eastAsia="Times New Roman" w:hAnsi="Arial" w:cs="Arial"/>
          <w:sz w:val="28"/>
          <w:szCs w:val="28"/>
          <w:lang w:eastAsia="ru-RU"/>
        </w:rPr>
        <w:t xml:space="preserve">Доходы бюджета муниципального образования городского округа Клинцы на 2020 год прогнозируются в объеме </w:t>
      </w:r>
      <w:r w:rsidR="00D1580B" w:rsidRPr="00C70552">
        <w:rPr>
          <w:rFonts w:ascii="Arial" w:hAnsi="Arial" w:cs="Arial"/>
          <w:sz w:val="28"/>
          <w:szCs w:val="28"/>
        </w:rPr>
        <w:t xml:space="preserve">1 137 681 474,59 рублей с увеличением к первоначально утвержденному плану на 2019 год на 15,8 процента (155 390 368,3 руб.) и снижением </w:t>
      </w:r>
      <w:r w:rsidR="00D1580B" w:rsidRPr="00C70552">
        <w:rPr>
          <w:rFonts w:ascii="Arial" w:eastAsia="Times New Roman" w:hAnsi="Arial" w:cs="Arial"/>
          <w:sz w:val="28"/>
          <w:szCs w:val="28"/>
          <w:lang w:eastAsia="ru-RU"/>
        </w:rPr>
        <w:t xml:space="preserve">по отношению к ожидаемому исполнению  2019 года снизилась на 4,3 </w:t>
      </w:r>
      <w:r w:rsidR="00D1580B" w:rsidRPr="00C70552">
        <w:rPr>
          <w:rFonts w:ascii="Arial" w:hAnsi="Arial" w:cs="Arial"/>
          <w:sz w:val="28"/>
          <w:szCs w:val="28"/>
        </w:rPr>
        <w:t>процента (</w:t>
      </w:r>
      <w:r w:rsidR="00D1580B" w:rsidRPr="00C70552">
        <w:rPr>
          <w:rFonts w:ascii="Arial" w:eastAsia="Times New Roman" w:hAnsi="Arial" w:cs="Arial"/>
          <w:sz w:val="28"/>
          <w:szCs w:val="28"/>
          <w:lang w:eastAsia="ru-RU"/>
        </w:rPr>
        <w:t>51 695 430,80 руб.)</w:t>
      </w:r>
      <w:r w:rsidR="00AD78DD" w:rsidRPr="00C70552">
        <w:rPr>
          <w:rFonts w:ascii="Arial" w:eastAsia="Times New Roman" w:hAnsi="Arial" w:cs="Arial"/>
          <w:sz w:val="28"/>
          <w:szCs w:val="28"/>
          <w:lang w:eastAsia="ru-RU"/>
        </w:rPr>
        <w:t>, что в основном обусловлено сложившейся практикой распределения объемов целевых</w:t>
      </w:r>
      <w:proofErr w:type="gramEnd"/>
      <w:r w:rsidR="00AD78DD" w:rsidRPr="00C70552">
        <w:rPr>
          <w:rFonts w:ascii="Arial" w:eastAsia="Times New Roman" w:hAnsi="Arial" w:cs="Arial"/>
          <w:sz w:val="28"/>
          <w:szCs w:val="28"/>
          <w:lang w:eastAsia="ru-RU"/>
        </w:rPr>
        <w:t xml:space="preserve"> межбюджетных трансфертов бюджета городского округа в ходе его исполнения.</w:t>
      </w:r>
    </w:p>
    <w:p w:rsidR="00D452EC" w:rsidRPr="00C70552" w:rsidRDefault="00D452EC" w:rsidP="002379F9">
      <w:pPr>
        <w:widowControl w:val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0552">
        <w:rPr>
          <w:rFonts w:ascii="Arial" w:eastAsia="Times New Roman" w:hAnsi="Arial" w:cs="Arial"/>
          <w:sz w:val="28"/>
          <w:szCs w:val="28"/>
          <w:lang w:eastAsia="ru-RU"/>
        </w:rPr>
        <w:tab/>
        <w:t>В плановом периоде доходы бюджета прогнозируются:</w:t>
      </w:r>
    </w:p>
    <w:p w:rsidR="00D1580B" w:rsidRPr="00C70552" w:rsidRDefault="00D452EC" w:rsidP="002379F9">
      <w:pPr>
        <w:widowControl w:val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0552">
        <w:rPr>
          <w:rFonts w:ascii="Arial" w:eastAsia="Times New Roman" w:hAnsi="Arial" w:cs="Arial"/>
          <w:sz w:val="28"/>
          <w:szCs w:val="28"/>
          <w:lang w:eastAsia="ru-RU"/>
        </w:rPr>
        <w:t>на 2021</w:t>
      </w:r>
      <w:r w:rsidR="00AD78DD" w:rsidRPr="00C7055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70552">
        <w:rPr>
          <w:rFonts w:ascii="Arial" w:eastAsia="Times New Roman" w:hAnsi="Arial" w:cs="Arial"/>
          <w:sz w:val="28"/>
          <w:szCs w:val="28"/>
          <w:lang w:eastAsia="ru-RU"/>
        </w:rPr>
        <w:t xml:space="preserve">год- </w:t>
      </w:r>
      <w:r w:rsidRPr="00C70552">
        <w:rPr>
          <w:rFonts w:ascii="Arial" w:hAnsi="Arial" w:cs="Arial"/>
          <w:sz w:val="28"/>
          <w:szCs w:val="28"/>
        </w:rPr>
        <w:t>1 113 294 643,11 рублей, со снижением к предыдущему году -  2,4 процента;</w:t>
      </w:r>
    </w:p>
    <w:p w:rsidR="00D452EC" w:rsidRPr="00C70552" w:rsidRDefault="00D452EC" w:rsidP="00D452EC">
      <w:pPr>
        <w:widowControl w:val="0"/>
        <w:jc w:val="both"/>
        <w:rPr>
          <w:rFonts w:ascii="Arial" w:hAnsi="Arial" w:cs="Arial"/>
          <w:sz w:val="28"/>
          <w:szCs w:val="28"/>
        </w:rPr>
      </w:pPr>
      <w:r w:rsidRPr="00C70552">
        <w:rPr>
          <w:rFonts w:ascii="Arial" w:eastAsia="Times New Roman" w:hAnsi="Arial" w:cs="Arial"/>
          <w:sz w:val="28"/>
          <w:szCs w:val="28"/>
          <w:lang w:eastAsia="ru-RU"/>
        </w:rPr>
        <w:t>на 202</w:t>
      </w:r>
      <w:r w:rsidR="003C5CA0" w:rsidRPr="00C70552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Pr="00C70552">
        <w:rPr>
          <w:rFonts w:ascii="Arial" w:eastAsia="Times New Roman" w:hAnsi="Arial" w:cs="Arial"/>
          <w:sz w:val="28"/>
          <w:szCs w:val="28"/>
          <w:lang w:eastAsia="ru-RU"/>
        </w:rPr>
        <w:t xml:space="preserve"> год- </w:t>
      </w:r>
      <w:r w:rsidRPr="00C70552">
        <w:rPr>
          <w:rFonts w:ascii="Arial" w:hAnsi="Arial" w:cs="Arial"/>
          <w:sz w:val="28"/>
          <w:szCs w:val="28"/>
        </w:rPr>
        <w:t>1 415 467 013,24 рублей, с увеличением  к предыдущему году -27,1 процента.</w:t>
      </w:r>
    </w:p>
    <w:p w:rsidR="003C5CA0" w:rsidRPr="00C70552" w:rsidRDefault="00AA22E2" w:rsidP="00AA22E2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0552">
        <w:rPr>
          <w:rFonts w:ascii="Arial" w:hAnsi="Arial" w:cs="Arial"/>
          <w:sz w:val="28"/>
          <w:szCs w:val="28"/>
        </w:rPr>
        <w:t>3.</w:t>
      </w:r>
      <w:r w:rsidRPr="00C70552">
        <w:rPr>
          <w:rFonts w:ascii="Arial" w:eastAsia="Times New Roman" w:hAnsi="Arial" w:cs="Arial"/>
          <w:sz w:val="28"/>
          <w:szCs w:val="28"/>
          <w:lang w:eastAsia="ru-RU"/>
        </w:rPr>
        <w:t xml:space="preserve"> Налоговые и неналоговые доходы муниципального образования городского округа Клинцы  прогнозируются  в объеме  465  291 772,00 </w:t>
      </w:r>
      <w:r w:rsidRPr="00C70552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руб., что на 19 264 565,00  руб. или на 4,3 % больше уровня предыдущего года по состоянию на 14.11.2019г.</w:t>
      </w:r>
    </w:p>
    <w:p w:rsidR="00FD771A" w:rsidRPr="00C70552" w:rsidRDefault="00FD771A" w:rsidP="003C5CA0">
      <w:pPr>
        <w:widowControl w:val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C5CA0" w:rsidRPr="00C70552" w:rsidRDefault="003C5CA0" w:rsidP="003C5CA0">
      <w:pPr>
        <w:widowControl w:val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0552">
        <w:rPr>
          <w:rFonts w:ascii="Arial" w:eastAsia="Times New Roman" w:hAnsi="Arial" w:cs="Arial"/>
          <w:sz w:val="28"/>
          <w:szCs w:val="28"/>
          <w:lang w:eastAsia="ru-RU"/>
        </w:rPr>
        <w:t>В плановом периоде налоговые и неналоговые доходы бюджета прогнозируются:</w:t>
      </w:r>
    </w:p>
    <w:p w:rsidR="003C5CA0" w:rsidRPr="00C70552" w:rsidRDefault="003C5CA0" w:rsidP="003C5CA0">
      <w:pPr>
        <w:widowControl w:val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0552">
        <w:rPr>
          <w:rFonts w:ascii="Arial" w:eastAsia="Times New Roman" w:hAnsi="Arial" w:cs="Arial"/>
          <w:sz w:val="28"/>
          <w:szCs w:val="28"/>
          <w:lang w:eastAsia="ru-RU"/>
        </w:rPr>
        <w:t xml:space="preserve">на 2021 год- </w:t>
      </w:r>
      <w:r w:rsidRPr="00C70552">
        <w:rPr>
          <w:rFonts w:ascii="Arial" w:hAnsi="Arial" w:cs="Arial"/>
          <w:sz w:val="28"/>
          <w:szCs w:val="28"/>
        </w:rPr>
        <w:t>498 775 099,00 рублей, с ростом к предыдущему году -  10,7 процента;</w:t>
      </w:r>
    </w:p>
    <w:p w:rsidR="003C5CA0" w:rsidRPr="00C70552" w:rsidRDefault="003C5CA0" w:rsidP="003C5CA0">
      <w:pPr>
        <w:widowControl w:val="0"/>
        <w:jc w:val="both"/>
        <w:rPr>
          <w:rFonts w:ascii="Arial" w:hAnsi="Arial" w:cs="Arial"/>
          <w:sz w:val="28"/>
          <w:szCs w:val="28"/>
        </w:rPr>
      </w:pPr>
      <w:r w:rsidRPr="00C70552">
        <w:rPr>
          <w:rFonts w:ascii="Arial" w:eastAsia="Times New Roman" w:hAnsi="Arial" w:cs="Arial"/>
          <w:sz w:val="28"/>
          <w:szCs w:val="28"/>
          <w:lang w:eastAsia="ru-RU"/>
        </w:rPr>
        <w:t xml:space="preserve">на 2022 год- </w:t>
      </w:r>
      <w:r w:rsidRPr="00C70552">
        <w:rPr>
          <w:rFonts w:ascii="Arial" w:hAnsi="Arial" w:cs="Arial"/>
          <w:sz w:val="28"/>
          <w:szCs w:val="28"/>
        </w:rPr>
        <w:t>543 907 017,00 рублей, с увеличением  к предыдущему году -109,0 процента.</w:t>
      </w:r>
    </w:p>
    <w:p w:rsidR="003C5CA0" w:rsidRPr="00C70552" w:rsidRDefault="003C5CA0" w:rsidP="003C5CA0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0552">
        <w:rPr>
          <w:rFonts w:ascii="Arial" w:hAnsi="Arial" w:cs="Arial"/>
          <w:sz w:val="28"/>
          <w:szCs w:val="28"/>
        </w:rPr>
        <w:t>4.</w:t>
      </w:r>
      <w:r w:rsidRPr="00C70552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C70552">
        <w:rPr>
          <w:rFonts w:ascii="Arial" w:eastAsia="Times New Roman" w:hAnsi="Arial" w:cs="Arial"/>
          <w:sz w:val="28"/>
          <w:szCs w:val="28"/>
          <w:lang w:eastAsia="ru-RU"/>
        </w:rPr>
        <w:t>Налоговые доходы</w:t>
      </w:r>
      <w:r w:rsidRPr="00C7055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C70552">
        <w:rPr>
          <w:rFonts w:ascii="Arial" w:eastAsia="Times New Roman" w:hAnsi="Arial" w:cs="Arial"/>
          <w:sz w:val="28"/>
          <w:szCs w:val="28"/>
          <w:lang w:eastAsia="ru-RU"/>
        </w:rPr>
        <w:t>муниципального образования городского округа Клинцы прогнозируются на 2020 год в объеме  429 808 479,00 руб.  Удельный вес налоговых доходов в структуре налоговых и неналоговых доходов  в 2020 году на 1,6% больше чем в 2019 году (по оценке – 90,8%). Темп роста к 2019 году составляет  6,1%. В структуре доходов бюджета в 2020 году налоговые доходы занимают  37,8%, что на 3,3% больше, чем в 2019 году (34,5%).</w:t>
      </w:r>
    </w:p>
    <w:p w:rsidR="00845DA0" w:rsidRPr="00C70552" w:rsidRDefault="00845DA0" w:rsidP="004067C9">
      <w:pPr>
        <w:widowControl w:val="0"/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0552">
        <w:rPr>
          <w:rFonts w:ascii="Arial" w:eastAsia="Times New Roman" w:hAnsi="Arial" w:cs="Arial"/>
          <w:sz w:val="28"/>
          <w:szCs w:val="28"/>
          <w:lang w:eastAsia="ru-RU"/>
        </w:rPr>
        <w:t>В плановом периоде налоговые доходы бюджета прогнозируются:</w:t>
      </w:r>
    </w:p>
    <w:p w:rsidR="00845DA0" w:rsidRPr="00C70552" w:rsidRDefault="00845DA0" w:rsidP="004067C9">
      <w:pPr>
        <w:widowControl w:val="0"/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0552">
        <w:rPr>
          <w:rFonts w:ascii="Arial" w:eastAsia="Times New Roman" w:hAnsi="Arial" w:cs="Arial"/>
          <w:sz w:val="28"/>
          <w:szCs w:val="28"/>
          <w:lang w:eastAsia="ru-RU"/>
        </w:rPr>
        <w:t xml:space="preserve">на 2021 год- </w:t>
      </w:r>
      <w:r w:rsidRPr="00C70552">
        <w:rPr>
          <w:rFonts w:ascii="Arial" w:hAnsi="Arial" w:cs="Arial"/>
          <w:sz w:val="28"/>
          <w:szCs w:val="28"/>
        </w:rPr>
        <w:t>463 172 822,00 рублей, с ростом к предыдущему году -  7,8 процента;</w:t>
      </w:r>
    </w:p>
    <w:p w:rsidR="00845DA0" w:rsidRPr="00C70552" w:rsidRDefault="00845DA0" w:rsidP="004067C9">
      <w:pPr>
        <w:widowControl w:val="0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70552">
        <w:rPr>
          <w:rFonts w:ascii="Arial" w:eastAsia="Times New Roman" w:hAnsi="Arial" w:cs="Arial"/>
          <w:sz w:val="28"/>
          <w:szCs w:val="28"/>
          <w:lang w:eastAsia="ru-RU"/>
        </w:rPr>
        <w:t xml:space="preserve">на 2022 год- </w:t>
      </w:r>
      <w:r w:rsidRPr="00C70552">
        <w:rPr>
          <w:rFonts w:ascii="Arial" w:hAnsi="Arial" w:cs="Arial"/>
          <w:sz w:val="28"/>
          <w:szCs w:val="28"/>
        </w:rPr>
        <w:t>507 383</w:t>
      </w:r>
      <w:r w:rsidR="00FD771A" w:rsidRPr="00C70552">
        <w:rPr>
          <w:rFonts w:ascii="Arial" w:hAnsi="Arial" w:cs="Arial"/>
          <w:sz w:val="28"/>
          <w:szCs w:val="28"/>
        </w:rPr>
        <w:t> </w:t>
      </w:r>
      <w:r w:rsidRPr="00C70552">
        <w:rPr>
          <w:rFonts w:ascii="Arial" w:hAnsi="Arial" w:cs="Arial"/>
          <w:sz w:val="28"/>
          <w:szCs w:val="28"/>
        </w:rPr>
        <w:t>714</w:t>
      </w:r>
      <w:r w:rsidR="00FD771A" w:rsidRPr="00C70552">
        <w:rPr>
          <w:rFonts w:ascii="Arial" w:hAnsi="Arial" w:cs="Arial"/>
          <w:sz w:val="28"/>
          <w:szCs w:val="28"/>
        </w:rPr>
        <w:t>,00</w:t>
      </w:r>
      <w:r w:rsidR="00C70552" w:rsidRPr="00C70552">
        <w:rPr>
          <w:rFonts w:ascii="Arial" w:hAnsi="Arial" w:cs="Arial"/>
          <w:sz w:val="28"/>
          <w:szCs w:val="28"/>
        </w:rPr>
        <w:t xml:space="preserve"> </w:t>
      </w:r>
      <w:r w:rsidRPr="00C70552">
        <w:rPr>
          <w:rFonts w:ascii="Arial" w:hAnsi="Arial" w:cs="Arial"/>
          <w:sz w:val="28"/>
          <w:szCs w:val="28"/>
        </w:rPr>
        <w:t xml:space="preserve"> рублей, с увеличением  к предыдущему году -9,5 процента.</w:t>
      </w:r>
    </w:p>
    <w:p w:rsidR="00F743BE" w:rsidRPr="00C70552" w:rsidRDefault="00F743BE" w:rsidP="00F743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0552">
        <w:rPr>
          <w:rFonts w:ascii="Arial" w:eastAsia="Times New Roman" w:hAnsi="Arial" w:cs="Arial"/>
          <w:sz w:val="28"/>
          <w:szCs w:val="28"/>
          <w:lang w:eastAsia="ru-RU"/>
        </w:rPr>
        <w:t xml:space="preserve">            Более половины плановых поступлений налоговых доходов в 2020 году приходится на налог на доходы физических лиц – 70,3%. Плановая сумма составляет 302 258 679,00 руб. По сравнению с 2019 годом (по первоначальному плану)  в объеме увеличился на 36 435 240,00 руб. </w:t>
      </w:r>
    </w:p>
    <w:p w:rsidR="00F743BE" w:rsidRPr="00C70552" w:rsidRDefault="00F743BE" w:rsidP="00845DA0">
      <w:pPr>
        <w:widowControl w:val="0"/>
        <w:jc w:val="both"/>
        <w:rPr>
          <w:rFonts w:ascii="Arial" w:hAnsi="Arial" w:cs="Arial"/>
          <w:sz w:val="28"/>
          <w:szCs w:val="28"/>
        </w:rPr>
      </w:pPr>
    </w:p>
    <w:p w:rsidR="005324EB" w:rsidRPr="00C70552" w:rsidRDefault="003C5CA0" w:rsidP="005324EB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0552">
        <w:rPr>
          <w:rFonts w:ascii="Arial" w:eastAsia="Times New Roman" w:hAnsi="Arial" w:cs="Arial"/>
          <w:sz w:val="28"/>
          <w:szCs w:val="28"/>
          <w:lang w:eastAsia="ru-RU"/>
        </w:rPr>
        <w:t>5.</w:t>
      </w:r>
      <w:r w:rsidR="005324EB" w:rsidRPr="00C70552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  <w:r w:rsidR="005324EB" w:rsidRPr="00C70552">
        <w:rPr>
          <w:rFonts w:ascii="Arial" w:eastAsia="Times New Roman" w:hAnsi="Arial" w:cs="Arial"/>
          <w:sz w:val="28"/>
          <w:szCs w:val="28"/>
          <w:lang w:eastAsia="ru-RU"/>
        </w:rPr>
        <w:t xml:space="preserve">Неналоговые доходы муниципального образования городского округа Клинцы прогнозируются  на 2020 год  в объеме 35 483 293,00 руб., что на 1,6%  или  5 342 646,00 руб.  меньше, чем в 2019 году (9,2%  или  </w:t>
      </w:r>
      <w:r w:rsidR="004067C9" w:rsidRPr="00C70552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</w:t>
      </w:r>
      <w:r w:rsidR="005324EB" w:rsidRPr="00C70552">
        <w:rPr>
          <w:rFonts w:ascii="Arial" w:eastAsia="Times New Roman" w:hAnsi="Arial" w:cs="Arial"/>
          <w:sz w:val="28"/>
          <w:szCs w:val="28"/>
          <w:lang w:eastAsia="ru-RU"/>
        </w:rPr>
        <w:t>40 825 939,00 руб.).</w:t>
      </w:r>
    </w:p>
    <w:p w:rsidR="005324EB" w:rsidRPr="00C70552" w:rsidRDefault="005324EB" w:rsidP="005324E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0552">
        <w:rPr>
          <w:rFonts w:ascii="Arial" w:eastAsia="Times New Roman" w:hAnsi="Arial" w:cs="Arial"/>
          <w:sz w:val="28"/>
          <w:szCs w:val="28"/>
          <w:lang w:eastAsia="ru-RU"/>
        </w:rPr>
        <w:t xml:space="preserve">            В структуре доходов бюджета в 2020 году неналоговые доходы занимают   3,1%, что на  0,5% меньше, чем в 2019 году (3,6%).</w:t>
      </w:r>
    </w:p>
    <w:p w:rsidR="005324EB" w:rsidRPr="00C70552" w:rsidRDefault="005324EB" w:rsidP="002E3A9F">
      <w:pPr>
        <w:widowControl w:val="0"/>
        <w:tabs>
          <w:tab w:val="right" w:pos="9355"/>
        </w:tabs>
        <w:spacing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0552">
        <w:rPr>
          <w:rFonts w:ascii="Arial" w:eastAsia="Times New Roman" w:hAnsi="Arial" w:cs="Arial"/>
          <w:sz w:val="28"/>
          <w:szCs w:val="28"/>
          <w:lang w:eastAsia="ru-RU"/>
        </w:rPr>
        <w:t>В плановом периоде неналоговые доходы бюджета прогнозируются:</w:t>
      </w:r>
      <w:r w:rsidR="002E3A9F" w:rsidRPr="00C70552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5324EB" w:rsidRPr="00C70552" w:rsidRDefault="005324EB" w:rsidP="004067C9">
      <w:pPr>
        <w:widowControl w:val="0"/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0552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на 2021 год- </w:t>
      </w:r>
      <w:r w:rsidRPr="00C70552">
        <w:rPr>
          <w:rFonts w:ascii="Arial" w:hAnsi="Arial" w:cs="Arial"/>
          <w:sz w:val="28"/>
          <w:szCs w:val="28"/>
        </w:rPr>
        <w:t>35 602 277,00 рублей, с ростом к предыдущему году -  0,3 процента;</w:t>
      </w:r>
    </w:p>
    <w:p w:rsidR="005324EB" w:rsidRPr="00C70552" w:rsidRDefault="005324EB" w:rsidP="004067C9">
      <w:pPr>
        <w:widowControl w:val="0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70552">
        <w:rPr>
          <w:rFonts w:ascii="Arial" w:eastAsia="Times New Roman" w:hAnsi="Arial" w:cs="Arial"/>
          <w:sz w:val="28"/>
          <w:szCs w:val="28"/>
          <w:lang w:eastAsia="ru-RU"/>
        </w:rPr>
        <w:t xml:space="preserve">на 2022 год- </w:t>
      </w:r>
      <w:r w:rsidRPr="00C70552">
        <w:rPr>
          <w:rFonts w:ascii="Arial" w:hAnsi="Arial" w:cs="Arial"/>
          <w:sz w:val="28"/>
          <w:szCs w:val="28"/>
        </w:rPr>
        <w:t>36 523 303,00 рублей, с увеличением  к предыдущему году -2,6 процента.</w:t>
      </w:r>
    </w:p>
    <w:p w:rsidR="002414E4" w:rsidRPr="00C70552" w:rsidRDefault="002414E4" w:rsidP="002414E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0552">
        <w:rPr>
          <w:rFonts w:ascii="Arial" w:eastAsia="Times New Roman" w:hAnsi="Arial" w:cs="Arial"/>
          <w:sz w:val="28"/>
          <w:szCs w:val="28"/>
          <w:lang w:eastAsia="ru-RU"/>
        </w:rPr>
        <w:t xml:space="preserve">Наибольшие поступления по неналоговым доходам планируются получить </w:t>
      </w:r>
      <w:proofErr w:type="gramStart"/>
      <w:r w:rsidRPr="00C70552">
        <w:rPr>
          <w:rFonts w:ascii="Arial" w:eastAsia="Times New Roman" w:hAnsi="Arial" w:cs="Arial"/>
          <w:sz w:val="28"/>
          <w:szCs w:val="28"/>
          <w:lang w:eastAsia="ru-RU"/>
        </w:rPr>
        <w:t>от</w:t>
      </w:r>
      <w:proofErr w:type="gramEnd"/>
      <w:r w:rsidRPr="00C70552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2414E4" w:rsidRPr="00C70552" w:rsidTr="00B30FD6">
        <w:tc>
          <w:tcPr>
            <w:tcW w:w="10192" w:type="dxa"/>
            <w:shd w:val="clear" w:color="auto" w:fill="auto"/>
          </w:tcPr>
          <w:p w:rsidR="002414E4" w:rsidRPr="00C70552" w:rsidRDefault="002414E4" w:rsidP="006833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C70552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               </w:t>
            </w:r>
            <w:r w:rsidRPr="00C7055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Доходов получаемых в виде арендной платы  за земельные участки, государственная  собственность на которые не разграничена и  которые расположены в границах городских  округов, а также средства от продажи права  на заключение договоров аренды указанных  земельных участков  - 12 769 500,00  </w:t>
            </w:r>
            <w:r w:rsidR="00C70552" w:rsidRPr="00C7055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руб</w:t>
            </w:r>
            <w:proofErr w:type="gramStart"/>
            <w:r w:rsidR="00C70552" w:rsidRPr="00C7055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..</w:t>
            </w:r>
            <w:proofErr w:type="gramEnd"/>
          </w:p>
        </w:tc>
      </w:tr>
    </w:tbl>
    <w:p w:rsidR="00D27427" w:rsidRPr="00C70552" w:rsidRDefault="002414E4" w:rsidP="00D27427">
      <w:pPr>
        <w:shd w:val="clear" w:color="auto" w:fill="FFFFFF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0552">
        <w:rPr>
          <w:rFonts w:ascii="Arial" w:eastAsia="Times New Roman" w:hAnsi="Arial" w:cs="Arial"/>
          <w:sz w:val="28"/>
          <w:szCs w:val="28"/>
          <w:lang w:eastAsia="ru-RU"/>
        </w:rPr>
        <w:t>6.</w:t>
      </w:r>
      <w:r w:rsidR="00AA22E2" w:rsidRPr="00C7055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27427" w:rsidRPr="00C70552">
        <w:rPr>
          <w:rFonts w:ascii="Arial" w:eastAsia="Times New Roman" w:hAnsi="Arial" w:cs="Arial"/>
          <w:sz w:val="28"/>
          <w:szCs w:val="28"/>
          <w:lang w:eastAsia="ru-RU"/>
        </w:rPr>
        <w:t>Прогнозируемые  безвозмездные поступления  городского бюджета в 2020 году запланированы в сумме  672 389 702,59 рублей,   со снижением  на  70 829 795,71 рублей к ожидаемой оценке 2019 года. Безвозмездные поступления на 2021 год планируются в сумме 614 519 544,11 рублей, на 2022 год в сумме  871 559 996,24 рублей.</w:t>
      </w:r>
    </w:p>
    <w:p w:rsidR="00D27427" w:rsidRPr="00C70552" w:rsidRDefault="00D27427" w:rsidP="00D27427">
      <w:pPr>
        <w:shd w:val="clear" w:color="auto" w:fill="FFFFFF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0552">
        <w:rPr>
          <w:rFonts w:ascii="Arial" w:eastAsia="Times New Roman" w:hAnsi="Arial" w:cs="Arial"/>
          <w:sz w:val="28"/>
          <w:szCs w:val="28"/>
          <w:lang w:eastAsia="ru-RU"/>
        </w:rPr>
        <w:t xml:space="preserve">Сокращение безвозмездных поступлений в 2021 году по сравнению с 2020 годом  отмечается, в основном, по субсидиям и обусловлено сложившейся практикой распределения объемов целевых межбюджетных трансфертов областного бюджета в ходе его исполнения.      </w:t>
      </w:r>
    </w:p>
    <w:p w:rsidR="00683332" w:rsidRPr="00C70552" w:rsidRDefault="00D27427" w:rsidP="00683332">
      <w:pPr>
        <w:widowControl w:val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0552">
        <w:rPr>
          <w:rFonts w:ascii="Arial" w:eastAsia="Times New Roman" w:hAnsi="Arial" w:cs="Arial"/>
          <w:sz w:val="28"/>
          <w:szCs w:val="28"/>
          <w:lang w:eastAsia="ru-RU"/>
        </w:rPr>
        <w:t xml:space="preserve">7.  </w:t>
      </w:r>
      <w:r w:rsidR="00683332" w:rsidRPr="00C70552">
        <w:rPr>
          <w:rFonts w:ascii="Arial" w:eastAsia="Times New Roman" w:hAnsi="Arial" w:cs="Arial"/>
          <w:sz w:val="28"/>
          <w:szCs w:val="28"/>
          <w:lang w:eastAsia="ru-RU"/>
        </w:rPr>
        <w:t xml:space="preserve">Объем расходов бюджета городского округа  в 2020 году составит                     1 137 681 474,59 рублей. Темп снижения расходов в 2020 году к 2019 году  составляет 6,7 процента. </w:t>
      </w:r>
    </w:p>
    <w:p w:rsidR="00683332" w:rsidRPr="00683332" w:rsidRDefault="00683332" w:rsidP="0068333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3332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        </w:t>
      </w:r>
      <w:r w:rsidRPr="00683332">
        <w:rPr>
          <w:rFonts w:ascii="Arial" w:eastAsia="Times New Roman" w:hAnsi="Arial" w:cs="Arial"/>
          <w:sz w:val="28"/>
          <w:szCs w:val="28"/>
          <w:lang w:eastAsia="ru-RU"/>
        </w:rPr>
        <w:t xml:space="preserve">Если сравнивать представленные параметры бюджета на 2020 год с первоначально утвержденным бюджетом на 2019 год,  то   по расходам планируется  увеличение  на  15,8 % или  155 390 368,3 руб. </w:t>
      </w:r>
    </w:p>
    <w:p w:rsidR="002E3A9F" w:rsidRPr="00C70552" w:rsidRDefault="002E3A9F" w:rsidP="002E3A9F">
      <w:pPr>
        <w:widowControl w:val="0"/>
        <w:tabs>
          <w:tab w:val="right" w:pos="9355"/>
        </w:tabs>
        <w:spacing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3A9F" w:rsidRPr="00C70552" w:rsidRDefault="002E3A9F" w:rsidP="002E3A9F">
      <w:pPr>
        <w:widowControl w:val="0"/>
        <w:tabs>
          <w:tab w:val="right" w:pos="9355"/>
        </w:tabs>
        <w:spacing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0552">
        <w:rPr>
          <w:rFonts w:ascii="Arial" w:eastAsia="Times New Roman" w:hAnsi="Arial" w:cs="Arial"/>
          <w:sz w:val="28"/>
          <w:szCs w:val="28"/>
          <w:lang w:eastAsia="ru-RU"/>
        </w:rPr>
        <w:t>В плановом периоде расходы бюджета прогнозируются:</w:t>
      </w:r>
      <w:r w:rsidRPr="00C70552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2E3A9F" w:rsidRPr="00C70552" w:rsidRDefault="002E3A9F" w:rsidP="002E3A9F">
      <w:pPr>
        <w:widowControl w:val="0"/>
        <w:jc w:val="both"/>
        <w:rPr>
          <w:rFonts w:ascii="Arial" w:hAnsi="Arial" w:cs="Arial"/>
          <w:sz w:val="28"/>
          <w:szCs w:val="28"/>
        </w:rPr>
      </w:pPr>
      <w:r w:rsidRPr="00C70552">
        <w:rPr>
          <w:rFonts w:ascii="Arial" w:eastAsia="Times New Roman" w:hAnsi="Arial" w:cs="Arial"/>
          <w:sz w:val="28"/>
          <w:szCs w:val="28"/>
          <w:lang w:eastAsia="ru-RU"/>
        </w:rPr>
        <w:t xml:space="preserve">на 2021 год- </w:t>
      </w:r>
      <w:r w:rsidRPr="00C70552">
        <w:rPr>
          <w:rFonts w:ascii="Arial" w:hAnsi="Arial" w:cs="Arial"/>
          <w:sz w:val="28"/>
          <w:szCs w:val="28"/>
        </w:rPr>
        <w:t>1 113 294 643,11 рублей.</w:t>
      </w:r>
    </w:p>
    <w:p w:rsidR="002E3A9F" w:rsidRPr="00C70552" w:rsidRDefault="002E3A9F" w:rsidP="002E3A9F">
      <w:pPr>
        <w:widowControl w:val="0"/>
        <w:jc w:val="both"/>
        <w:rPr>
          <w:rFonts w:ascii="Arial" w:hAnsi="Arial" w:cs="Arial"/>
          <w:sz w:val="28"/>
          <w:szCs w:val="28"/>
        </w:rPr>
      </w:pPr>
      <w:r w:rsidRPr="00C70552">
        <w:rPr>
          <w:rFonts w:ascii="Arial" w:eastAsia="Times New Roman" w:hAnsi="Arial" w:cs="Arial"/>
          <w:sz w:val="28"/>
          <w:szCs w:val="28"/>
          <w:lang w:eastAsia="ru-RU"/>
        </w:rPr>
        <w:t xml:space="preserve">на 2022 год- </w:t>
      </w:r>
      <w:r w:rsidRPr="00C70552">
        <w:rPr>
          <w:rFonts w:ascii="Arial" w:hAnsi="Arial" w:cs="Arial"/>
          <w:sz w:val="28"/>
          <w:szCs w:val="28"/>
        </w:rPr>
        <w:t>1 415 467 013,24 рублей.</w:t>
      </w:r>
    </w:p>
    <w:p w:rsidR="002E3A9F" w:rsidRPr="00C70552" w:rsidRDefault="00683332" w:rsidP="002E3A9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0552">
        <w:rPr>
          <w:rFonts w:ascii="Arial" w:eastAsia="Times New Roman" w:hAnsi="Arial" w:cs="Arial"/>
          <w:sz w:val="28"/>
          <w:szCs w:val="28"/>
          <w:lang w:eastAsia="ru-RU"/>
        </w:rPr>
        <w:t>8.</w:t>
      </w:r>
      <w:r w:rsidR="002E3A9F" w:rsidRPr="00C70552">
        <w:rPr>
          <w:rFonts w:ascii="Arial" w:eastAsia="Times New Roman" w:hAnsi="Arial" w:cs="Arial"/>
          <w:sz w:val="28"/>
          <w:szCs w:val="28"/>
          <w:lang w:eastAsia="ru-RU"/>
        </w:rPr>
        <w:t xml:space="preserve"> Приоритетом при планировании бюджетных ассигнований на 2020 – 2022 годы являлось безусловное исполнение всех принятых социальных обязательств, которые сохранены на уровне не ниже 2019 года. </w:t>
      </w:r>
    </w:p>
    <w:p w:rsidR="002E3A9F" w:rsidRPr="002E3A9F" w:rsidRDefault="002E3A9F" w:rsidP="002E3A9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E3A9F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Объем расходов по отраслям так называемого «социального блока» (образование, культура, социальная политика, физическая культура и спорт) составит в 2020 году 860 571 579,09 рублей или 75,5 % объема расходов бюджета городского округа,</w:t>
      </w:r>
      <w:r w:rsidRPr="002E3A9F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r w:rsidRPr="002E3A9F">
        <w:rPr>
          <w:rFonts w:ascii="Arial" w:eastAsia="Times New Roman" w:hAnsi="Arial" w:cs="Arial"/>
          <w:sz w:val="28"/>
          <w:szCs w:val="28"/>
          <w:lang w:eastAsia="ru-RU"/>
        </w:rPr>
        <w:t xml:space="preserve">в 2021 году –843 717 700, 77руб. или 75,8 % и в 2022 году – 914 147 734,58 руб. или 100,7 %.  </w:t>
      </w:r>
    </w:p>
    <w:p w:rsidR="002E3A9F" w:rsidRPr="00C70552" w:rsidRDefault="002E3A9F" w:rsidP="00683332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3A9F" w:rsidRPr="00C70552" w:rsidRDefault="002E3A9F" w:rsidP="002E3A9F">
      <w:pPr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0552">
        <w:rPr>
          <w:rFonts w:ascii="Arial" w:eastAsia="Times New Roman" w:hAnsi="Arial" w:cs="Arial"/>
          <w:sz w:val="28"/>
          <w:szCs w:val="28"/>
          <w:lang w:eastAsia="ru-RU"/>
        </w:rPr>
        <w:t>9. Наибольший удельный вес в расходах  занимают расходы на  «Образование»,</w:t>
      </w:r>
      <w:r w:rsidRPr="00C70552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r w:rsidRPr="00C70552">
        <w:rPr>
          <w:rFonts w:ascii="Arial" w:eastAsia="Times New Roman" w:hAnsi="Arial" w:cs="Arial"/>
          <w:sz w:val="28"/>
          <w:szCs w:val="28"/>
          <w:lang w:eastAsia="ru-RU"/>
        </w:rPr>
        <w:t xml:space="preserve">в 2020 году это 66,8 %, в 2021 году – 66,0% и в 2022 году – 53,1% от всех расходов городского бюджета. </w:t>
      </w:r>
    </w:p>
    <w:p w:rsidR="002E3A9F" w:rsidRPr="002E3A9F" w:rsidRDefault="002E3A9F" w:rsidP="002E3A9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2E3A9F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              </w:t>
      </w:r>
      <w:r w:rsidRPr="002E3A9F">
        <w:rPr>
          <w:rFonts w:ascii="Arial" w:eastAsia="Times New Roman" w:hAnsi="Arial" w:cs="Arial"/>
          <w:sz w:val="28"/>
          <w:szCs w:val="28"/>
          <w:lang w:eastAsia="ru-RU"/>
        </w:rPr>
        <w:t xml:space="preserve">Расходы городского бюджета планируются по </w:t>
      </w:r>
      <w:r w:rsidRPr="002E3A9F">
        <w:rPr>
          <w:rFonts w:ascii="Arial" w:eastAsia="Calibri" w:hAnsi="Arial" w:cs="Arial"/>
          <w:sz w:val="28"/>
          <w:szCs w:val="28"/>
          <w:lang w:eastAsia="ru-RU"/>
        </w:rPr>
        <w:t xml:space="preserve"> 10 разделам  бюджетной классификации.   Со снижением к уровню 2019 года  запланированы расходы  только по 5 разделам – «</w:t>
      </w:r>
      <w:r w:rsidRPr="002E3A9F">
        <w:rPr>
          <w:rFonts w:ascii="Arial" w:eastAsia="Times New Roman" w:hAnsi="Arial" w:cs="Arial"/>
          <w:bCs/>
          <w:sz w:val="28"/>
          <w:szCs w:val="28"/>
          <w:lang w:eastAsia="ru-RU"/>
        </w:rPr>
        <w:t>Национальная экономика» - 7,5%,</w:t>
      </w:r>
      <w:r w:rsidRPr="002E3A9F">
        <w:rPr>
          <w:rFonts w:ascii="Arial" w:eastAsia="Calibri" w:hAnsi="Arial" w:cs="Arial"/>
          <w:sz w:val="28"/>
          <w:szCs w:val="28"/>
          <w:lang w:eastAsia="ru-RU"/>
        </w:rPr>
        <w:t xml:space="preserve"> «</w:t>
      </w:r>
      <w:r w:rsidRPr="002E3A9F">
        <w:rPr>
          <w:rFonts w:ascii="Arial" w:eastAsia="Times New Roman" w:hAnsi="Arial" w:cs="Arial"/>
          <w:bCs/>
          <w:sz w:val="28"/>
          <w:szCs w:val="28"/>
          <w:lang w:eastAsia="ru-RU"/>
        </w:rPr>
        <w:t>Жилищно-комму</w:t>
      </w:r>
      <w:r w:rsidRPr="002E3A9F">
        <w:rPr>
          <w:rFonts w:ascii="Arial" w:eastAsia="Times New Roman" w:hAnsi="Arial" w:cs="Arial"/>
          <w:bCs/>
          <w:sz w:val="28"/>
          <w:szCs w:val="28"/>
          <w:lang w:eastAsia="ru-RU"/>
        </w:rPr>
        <w:softHyphen/>
        <w:t>нальное хозяйство» - 6,6%,</w:t>
      </w:r>
      <w:r w:rsidRPr="002E3A9F">
        <w:rPr>
          <w:rFonts w:ascii="Arial" w:eastAsia="Calibri" w:hAnsi="Arial" w:cs="Arial"/>
          <w:sz w:val="28"/>
          <w:szCs w:val="28"/>
          <w:lang w:eastAsia="ru-RU"/>
        </w:rPr>
        <w:t xml:space="preserve"> «Культура» - 2,7%, «Социальная политика»-5,9% и «Физическая культура и с</w:t>
      </w:r>
      <w:r w:rsidR="004A08C8" w:rsidRPr="00C70552">
        <w:rPr>
          <w:rFonts w:ascii="Arial" w:eastAsia="Calibri" w:hAnsi="Arial" w:cs="Arial"/>
          <w:sz w:val="28"/>
          <w:szCs w:val="28"/>
          <w:lang w:eastAsia="ru-RU"/>
        </w:rPr>
        <w:t>п</w:t>
      </w:r>
      <w:r w:rsidRPr="002E3A9F">
        <w:rPr>
          <w:rFonts w:ascii="Arial" w:eastAsia="Calibri" w:hAnsi="Arial" w:cs="Arial"/>
          <w:sz w:val="28"/>
          <w:szCs w:val="28"/>
          <w:lang w:eastAsia="ru-RU"/>
        </w:rPr>
        <w:t>орт»-0,1%. По остальным разделам наблюдается рост. Наибольшее увеличение по объему отмечено в отношении расходов раздела 07 «</w:t>
      </w:r>
      <w:r w:rsidRPr="002E3A9F">
        <w:rPr>
          <w:rFonts w:ascii="Arial" w:eastAsia="Times New Roman" w:hAnsi="Arial" w:cs="Arial"/>
          <w:bCs/>
          <w:sz w:val="28"/>
          <w:szCs w:val="28"/>
          <w:lang w:eastAsia="ru-RU"/>
        </w:rPr>
        <w:t>Образование»</w:t>
      </w:r>
      <w:r w:rsidRPr="002E3A9F">
        <w:rPr>
          <w:rFonts w:ascii="Arial" w:eastAsia="Calibri" w:hAnsi="Arial" w:cs="Arial"/>
          <w:sz w:val="28"/>
          <w:szCs w:val="28"/>
          <w:lang w:eastAsia="ru-RU"/>
        </w:rPr>
        <w:t xml:space="preserve">, расходы по сравнению с 2019 годом запланированы с ростом на 36 190 194,29 рублей  или  105,0%. </w:t>
      </w:r>
    </w:p>
    <w:p w:rsidR="002E3A9F" w:rsidRPr="002E3A9F" w:rsidRDefault="002E3A9F" w:rsidP="002E3A9F">
      <w:pPr>
        <w:widowControl w:val="0"/>
        <w:tabs>
          <w:tab w:val="left" w:pos="-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8"/>
          <w:szCs w:val="28"/>
          <w:lang w:eastAsia="ru-RU"/>
        </w:rPr>
      </w:pPr>
      <w:r w:rsidRPr="002E3A9F">
        <w:rPr>
          <w:rFonts w:ascii="Arial" w:eastAsia="Calibri" w:hAnsi="Arial" w:cs="Arial"/>
          <w:sz w:val="28"/>
          <w:szCs w:val="28"/>
          <w:lang w:eastAsia="ru-RU"/>
        </w:rPr>
        <w:t>В качестве одного из основных приоритетов бюджетной политики области по-прежнему будет являться исполнение законодательно установленных публично-нормативных и иных социально-значимых обязательств, в том числе по выплате социальных пособий и компенсаций.</w:t>
      </w:r>
    </w:p>
    <w:p w:rsidR="004A08C8" w:rsidRPr="00C70552" w:rsidRDefault="004A08C8" w:rsidP="008A7497">
      <w:pPr>
        <w:ind w:firstLine="708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C70552">
        <w:rPr>
          <w:rFonts w:ascii="Arial" w:eastAsia="Times New Roman" w:hAnsi="Arial" w:cs="Arial"/>
          <w:sz w:val="28"/>
          <w:szCs w:val="28"/>
          <w:lang w:eastAsia="ru-RU"/>
        </w:rPr>
        <w:t xml:space="preserve">10. В соответствии с Бюджетным кодексом Российской Федерации проект бюджета городского округа  на 2020 год и плановый период 2021-2022 годов, сформирован в программной структуре расходов на основе 8 муниципальных программ. </w:t>
      </w:r>
      <w:r w:rsidRPr="00C70552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</w:p>
    <w:p w:rsidR="004A08C8" w:rsidRPr="004A08C8" w:rsidRDefault="004A08C8" w:rsidP="004A08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A08C8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       </w:t>
      </w:r>
      <w:r w:rsidRPr="004A08C8">
        <w:rPr>
          <w:rFonts w:ascii="Arial" w:eastAsia="Times New Roman" w:hAnsi="Arial" w:cs="Arial"/>
          <w:sz w:val="28"/>
          <w:szCs w:val="28"/>
          <w:lang w:eastAsia="ru-RU"/>
        </w:rPr>
        <w:t xml:space="preserve">В соответствии с Порядком разработки муниципальных программ в составе приложений к законопроекту представлено аналитическое распределение расходов городского бюджета  на 2020 - 2022 годы </w:t>
      </w:r>
      <w:r w:rsidRPr="004A08C8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C70552" w:rsidRPr="00C70552">
        <w:rPr>
          <w:rFonts w:ascii="Arial" w:eastAsia="Times New Roman" w:hAnsi="Arial" w:cs="Arial"/>
          <w:sz w:val="28"/>
          <w:szCs w:val="28"/>
          <w:lang w:eastAsia="ru-RU"/>
        </w:rPr>
        <w:t>по четырем</w:t>
      </w:r>
      <w:r w:rsidRPr="004A08C8">
        <w:rPr>
          <w:rFonts w:ascii="Arial" w:eastAsia="Times New Roman" w:hAnsi="Arial" w:cs="Arial"/>
          <w:sz w:val="28"/>
          <w:szCs w:val="28"/>
          <w:lang w:eastAsia="ru-RU"/>
        </w:rPr>
        <w:t xml:space="preserve"> распорядителям средств бюджета  городского округа в соответствии с классификацией расходов бюджета.  </w:t>
      </w:r>
    </w:p>
    <w:p w:rsidR="00253D86" w:rsidRPr="00C70552" w:rsidRDefault="008A7497" w:rsidP="008A7497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C70552">
        <w:rPr>
          <w:rFonts w:ascii="Arial" w:eastAsia="Times New Roman" w:hAnsi="Arial" w:cs="Arial"/>
          <w:sz w:val="28"/>
          <w:szCs w:val="28"/>
          <w:lang w:eastAsia="ru-RU"/>
        </w:rPr>
        <w:t xml:space="preserve">11. </w:t>
      </w:r>
      <w:r w:rsidRPr="00C70552">
        <w:rPr>
          <w:rFonts w:ascii="Arial" w:hAnsi="Arial" w:cs="Arial"/>
          <w:sz w:val="28"/>
          <w:szCs w:val="28"/>
        </w:rPr>
        <w:t>Расходы на бюджетные инвестиции в объекты муниципальной собственности в проекте бюджета городского округа на 2020  -2022 годы  предусмотрены в рамках двух муниципальных программ</w:t>
      </w:r>
      <w:r w:rsidR="00253D86" w:rsidRPr="00C70552">
        <w:rPr>
          <w:rFonts w:ascii="Arial" w:hAnsi="Arial" w:cs="Arial"/>
          <w:sz w:val="28"/>
          <w:szCs w:val="28"/>
        </w:rPr>
        <w:t>.</w:t>
      </w:r>
    </w:p>
    <w:p w:rsidR="00253D86" w:rsidRPr="00C70552" w:rsidRDefault="00253D86" w:rsidP="008A7497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C70552">
        <w:rPr>
          <w:rFonts w:ascii="Arial" w:hAnsi="Arial" w:cs="Arial"/>
          <w:sz w:val="28"/>
          <w:szCs w:val="28"/>
        </w:rPr>
        <w:t>Объем  бюджетных инвестиций на 2020 год составляет 58 917 980,55 рублей, на 2021 год составляет 32 300 000,</w:t>
      </w:r>
      <w:r w:rsidR="00DE54AE" w:rsidRPr="00C70552">
        <w:rPr>
          <w:rFonts w:ascii="Arial" w:hAnsi="Arial" w:cs="Arial"/>
          <w:sz w:val="28"/>
          <w:szCs w:val="28"/>
        </w:rPr>
        <w:t xml:space="preserve">00 рублей, что ниже уровня 2020 года на 26 617 980,55рублей или 45,2 процента, </w:t>
      </w:r>
      <w:r w:rsidRPr="00C70552">
        <w:rPr>
          <w:rFonts w:ascii="Arial" w:hAnsi="Arial" w:cs="Arial"/>
          <w:sz w:val="28"/>
          <w:szCs w:val="28"/>
        </w:rPr>
        <w:t xml:space="preserve"> </w:t>
      </w:r>
      <w:r w:rsidRPr="00C70552">
        <w:rPr>
          <w:rFonts w:ascii="Arial" w:hAnsi="Arial" w:cs="Arial"/>
          <w:sz w:val="28"/>
          <w:szCs w:val="28"/>
        </w:rPr>
        <w:lastRenderedPageBreak/>
        <w:t>на 2022 год составляет 162 020 000,00 рублей</w:t>
      </w:r>
      <w:r w:rsidR="00DE54AE" w:rsidRPr="00C70552">
        <w:rPr>
          <w:rFonts w:ascii="Arial" w:hAnsi="Arial" w:cs="Arial"/>
          <w:sz w:val="28"/>
          <w:szCs w:val="28"/>
        </w:rPr>
        <w:t>, что выше уровня 2021 года на 129 720 000,0 рублей или 5 раз</w:t>
      </w:r>
      <w:r w:rsidRPr="00C70552">
        <w:rPr>
          <w:rFonts w:ascii="Arial" w:hAnsi="Arial" w:cs="Arial"/>
          <w:sz w:val="28"/>
          <w:szCs w:val="28"/>
        </w:rPr>
        <w:t>.</w:t>
      </w:r>
      <w:proofErr w:type="gramEnd"/>
    </w:p>
    <w:p w:rsidR="00C566B6" w:rsidRPr="00C70552" w:rsidRDefault="00C566B6" w:rsidP="008A7497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C70552">
        <w:rPr>
          <w:rFonts w:ascii="Arial" w:hAnsi="Arial" w:cs="Arial"/>
          <w:sz w:val="28"/>
          <w:szCs w:val="28"/>
        </w:rPr>
        <w:t>П</w:t>
      </w:r>
      <w:proofErr w:type="gramEnd"/>
      <w:r w:rsidRPr="00C70552">
        <w:rPr>
          <w:rFonts w:ascii="Arial" w:hAnsi="Arial" w:cs="Arial"/>
          <w:sz w:val="28"/>
          <w:szCs w:val="28"/>
        </w:rPr>
        <w:t xml:space="preserve"> результатам финансово- экономической экспертизы проектов приложений к проекту решения учтены предложения Контрольно-счетной палаты города Клинцы по устранению нарушений и недостатков по двум приложениям.</w:t>
      </w:r>
    </w:p>
    <w:p w:rsidR="00DE54AE" w:rsidRPr="00C70552" w:rsidRDefault="00DE54AE" w:rsidP="008A7497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C70552">
        <w:rPr>
          <w:rFonts w:ascii="Arial" w:hAnsi="Arial" w:cs="Arial"/>
          <w:sz w:val="28"/>
          <w:szCs w:val="28"/>
        </w:rPr>
        <w:t>12 Проектом Решения предусмотрено формирования бюджета муниципального образования городского округа Клинцы  на 2020-2022 годы без дефицита.</w:t>
      </w:r>
    </w:p>
    <w:p w:rsidR="00C566B6" w:rsidRPr="00C566B6" w:rsidRDefault="00C566B6" w:rsidP="00C566B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C566B6">
        <w:rPr>
          <w:rFonts w:ascii="Arial" w:eastAsia="Times New Roman" w:hAnsi="Arial" w:cs="Arial"/>
          <w:bCs/>
          <w:sz w:val="28"/>
          <w:szCs w:val="28"/>
          <w:lang w:eastAsia="ru-RU"/>
        </w:rPr>
        <w:t>Долговая политика городской администрации планируется на все годы  в сумме  60 000 000,00 руб., внутренний долг городского округа  по состоянию на</w:t>
      </w:r>
      <w:r w:rsidR="00C70552" w:rsidRPr="00C7055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C566B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1 января 2021 г.  60 000 000,00руб., на 1 января 2022 г.  60 000 000,00 руб. и на 1 января 2023 г. соответственно  60 000 000,00руб. </w:t>
      </w:r>
    </w:p>
    <w:p w:rsidR="00C566B6" w:rsidRPr="00C566B6" w:rsidRDefault="00C566B6" w:rsidP="00C566B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566B6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         </w:t>
      </w:r>
      <w:proofErr w:type="gramStart"/>
      <w:r w:rsidRPr="00C566B6">
        <w:rPr>
          <w:rFonts w:ascii="Arial" w:eastAsia="Times New Roman" w:hAnsi="Arial" w:cs="Arial"/>
          <w:sz w:val="28"/>
          <w:szCs w:val="28"/>
          <w:lang w:eastAsia="ru-RU"/>
        </w:rPr>
        <w:t>Расходы на обслуживание муниципального долга  запланированы в 2020 году  в объеме 6 268 500,00 руб., т.е. к уровню ожидаемого исполнения 2019 года планируется прирост в сумме 248 447 990,89 руб..  Доля расходов на обслуживание муниципального долга в общем объеме расходов городского бюджета в  2020 году составит  0,6%, в 2021 году 0,5% и в 2022 году 0,3% .</w:t>
      </w:r>
      <w:proofErr w:type="gramEnd"/>
    </w:p>
    <w:p w:rsidR="00C566B6" w:rsidRPr="00C70552" w:rsidRDefault="00C566B6" w:rsidP="008A7497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C70552">
        <w:rPr>
          <w:rFonts w:ascii="Arial" w:hAnsi="Arial" w:cs="Arial"/>
          <w:sz w:val="28"/>
          <w:szCs w:val="28"/>
        </w:rPr>
        <w:t>Показатели долговой зависимости бюджета муниципального образования городского округа Клинцы находятся в рамках, определенных бюджетным законодательством Российской Федерации.</w:t>
      </w:r>
    </w:p>
    <w:p w:rsidR="00C566B6" w:rsidRPr="00C70552" w:rsidRDefault="00C566B6" w:rsidP="008A7497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</w:p>
    <w:p w:rsidR="00C566B6" w:rsidRPr="00C70552" w:rsidRDefault="00C566B6" w:rsidP="00C566B6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0552">
        <w:rPr>
          <w:rFonts w:ascii="Arial" w:hAnsi="Arial" w:cs="Arial"/>
          <w:sz w:val="28"/>
          <w:szCs w:val="28"/>
        </w:rPr>
        <w:t>Председатель</w:t>
      </w:r>
      <w:proofErr w:type="gramStart"/>
      <w:r w:rsidRPr="00C70552">
        <w:rPr>
          <w:rFonts w:ascii="Arial" w:hAnsi="Arial" w:cs="Arial"/>
          <w:sz w:val="28"/>
          <w:szCs w:val="28"/>
        </w:rPr>
        <w:t xml:space="preserve"> К</w:t>
      </w:r>
      <w:proofErr w:type="gramEnd"/>
      <w:r w:rsidRPr="00C70552">
        <w:rPr>
          <w:rFonts w:ascii="Arial" w:hAnsi="Arial" w:cs="Arial"/>
          <w:sz w:val="28"/>
          <w:szCs w:val="28"/>
        </w:rPr>
        <w:t>онтрольно –</w:t>
      </w:r>
    </w:p>
    <w:p w:rsidR="00C566B6" w:rsidRPr="00C70552" w:rsidRDefault="00C566B6" w:rsidP="00C566B6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0552">
        <w:rPr>
          <w:rFonts w:ascii="Arial" w:hAnsi="Arial" w:cs="Arial"/>
          <w:sz w:val="28"/>
          <w:szCs w:val="28"/>
        </w:rPr>
        <w:t xml:space="preserve">счетной палаты  горда Клинцы                                             </w:t>
      </w:r>
      <w:proofErr w:type="spellStart"/>
      <w:r w:rsidRPr="00C70552">
        <w:rPr>
          <w:rFonts w:ascii="Arial" w:hAnsi="Arial" w:cs="Arial"/>
          <w:sz w:val="28"/>
          <w:szCs w:val="28"/>
        </w:rPr>
        <w:t>М.А.Титенко</w:t>
      </w:r>
      <w:proofErr w:type="spellEnd"/>
    </w:p>
    <w:p w:rsidR="00253D86" w:rsidRPr="008A7497" w:rsidRDefault="00253D86" w:rsidP="008A749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2E2" w:rsidRPr="00AA5DB4" w:rsidRDefault="00AA22E2" w:rsidP="00D2742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9F9" w:rsidRPr="00AA5DB4" w:rsidRDefault="002379F9" w:rsidP="002379F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79F9" w:rsidRPr="002379F9" w:rsidRDefault="002379F9" w:rsidP="002379F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566B6" w:rsidRPr="002379F9" w:rsidRDefault="00C566B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C566B6" w:rsidRPr="0023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56"/>
    <w:rsid w:val="002379F9"/>
    <w:rsid w:val="002414E4"/>
    <w:rsid w:val="00253D86"/>
    <w:rsid w:val="002E3A9F"/>
    <w:rsid w:val="003C5CA0"/>
    <w:rsid w:val="004067C9"/>
    <w:rsid w:val="004A08C8"/>
    <w:rsid w:val="005324EB"/>
    <w:rsid w:val="00640690"/>
    <w:rsid w:val="00683332"/>
    <w:rsid w:val="00843C84"/>
    <w:rsid w:val="00845DA0"/>
    <w:rsid w:val="00867F56"/>
    <w:rsid w:val="008A7497"/>
    <w:rsid w:val="00A24E07"/>
    <w:rsid w:val="00AA22E2"/>
    <w:rsid w:val="00AA5DB4"/>
    <w:rsid w:val="00AD78DD"/>
    <w:rsid w:val="00C566B6"/>
    <w:rsid w:val="00C70552"/>
    <w:rsid w:val="00D1580B"/>
    <w:rsid w:val="00D27427"/>
    <w:rsid w:val="00D452EC"/>
    <w:rsid w:val="00DB045F"/>
    <w:rsid w:val="00DE54AE"/>
    <w:rsid w:val="00F743BE"/>
    <w:rsid w:val="00F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72578-482F-40DC-9418-C5D471E4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3</cp:revision>
  <cp:lastPrinted>2019-12-18T12:52:00Z</cp:lastPrinted>
  <dcterms:created xsi:type="dcterms:W3CDTF">2021-06-09T08:59:00Z</dcterms:created>
  <dcterms:modified xsi:type="dcterms:W3CDTF">2021-06-09T12:37:00Z</dcterms:modified>
</cp:coreProperties>
</file>