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bookmarkStart w:id="0" w:name="_GoBack"/>
      <w:bookmarkEnd w:id="0"/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886BDF">
              <w:rPr>
                <w:rFonts w:eastAsiaTheme="minorEastAsia"/>
                <w:b/>
                <w:sz w:val="20"/>
                <w:szCs w:val="20"/>
              </w:rPr>
              <w:t xml:space="preserve">1 февраля </w:t>
            </w:r>
            <w:r w:rsidR="0022296E">
              <w:rPr>
                <w:rFonts w:eastAsiaTheme="minorEastAsia"/>
                <w:b/>
                <w:sz w:val="20"/>
                <w:szCs w:val="20"/>
              </w:rPr>
              <w:t>2022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886BDF">
              <w:rPr>
                <w:rFonts w:eastAsiaTheme="minorEastAsia"/>
                <w:b/>
                <w:sz w:val="20"/>
                <w:szCs w:val="20"/>
              </w:rPr>
              <w:t>15</w:t>
            </w:r>
            <w:r w:rsidR="0022296E">
              <w:rPr>
                <w:rFonts w:eastAsiaTheme="minorEastAsia"/>
                <w:b/>
                <w:sz w:val="20"/>
                <w:szCs w:val="20"/>
              </w:rPr>
              <w:t xml:space="preserve"> февраля 2022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у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4A2C69" w:rsidRDefault="00B368B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B368B5">
              <w:rPr>
                <w:b/>
                <w:sz w:val="20"/>
                <w:szCs w:val="20"/>
                <w:u w:val="single"/>
              </w:rPr>
              <w:t xml:space="preserve"> постановления Клинцовского городской администрации 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>«</w:t>
            </w:r>
            <w:r w:rsidR="007D42F5" w:rsidRPr="007D42F5">
              <w:rPr>
                <w:b/>
                <w:sz w:val="20"/>
                <w:szCs w:val="20"/>
                <w:u w:val="single"/>
              </w:rPr>
              <w:t>Об утверждении форм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>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22296E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>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</w:t>
            </w:r>
            <w:proofErr w:type="gramStart"/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A355BF" w:rsidRP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22296E" w:rsidRDefault="0022296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, постановление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Устав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округа «город Клинцы Брянской области»</w:t>
            </w:r>
            <w:r w:rsidR="00D46A69">
              <w:t xml:space="preserve"> </w:t>
            </w:r>
            <w:proofErr w:type="gramEnd"/>
          </w:p>
          <w:p w:rsidR="00D04A2E" w:rsidRPr="00D04A2E" w:rsidRDefault="00D04A2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9F5EF2" w:rsidRPr="009F5EF2" w:rsidRDefault="009F5EF2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></w:t>
            </w:r>
            <w:r w:rsidRPr="009F5EF2">
              <w:rPr>
                <w:rFonts w:eastAsiaTheme="minorEastAsia"/>
                <w:b/>
                <w:sz w:val="20"/>
                <w:szCs w:val="20"/>
                <w:u w:val="single"/>
              </w:rPr>
              <w:tab/>
            </w:r>
            <w:r w:rsidR="00576BFF">
              <w:rPr>
                <w:rFonts w:eastAsiaTheme="minorEastAsia"/>
                <w:b/>
                <w:sz w:val="20"/>
                <w:szCs w:val="20"/>
                <w:u w:val="single"/>
              </w:rPr>
              <w:t>применен</w:t>
            </w:r>
            <w:r w:rsidR="00F3507A">
              <w:rPr>
                <w:rFonts w:eastAsiaTheme="minorEastAsia"/>
                <w:b/>
                <w:sz w:val="20"/>
                <w:szCs w:val="20"/>
                <w:u w:val="single"/>
              </w:rPr>
              <w:t>ие проверочных листов, ответы на</w:t>
            </w:r>
            <w:r w:rsidR="00576BF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контрольные вопросы </w:t>
            </w:r>
            <w:r w:rsidR="00F3507A">
              <w:rPr>
                <w:rFonts w:eastAsiaTheme="minorEastAsia"/>
                <w:b/>
                <w:sz w:val="20"/>
                <w:szCs w:val="20"/>
                <w:u w:val="single"/>
              </w:rPr>
              <w:t>будут свидетельствовать о соблюдении или несоблюдении контролируемым лицом обязательных требований</w:t>
            </w:r>
          </w:p>
          <w:p w:rsidR="00D04A2E" w:rsidRPr="00D04A2E" w:rsidRDefault="00D04A2E" w:rsidP="002229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D04A2E" w:rsidRPr="00D04A2E" w:rsidRDefault="00D46A69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F3507A" w:rsidRPr="00F3507A">
              <w:rPr>
                <w:rFonts w:eastAsiaTheme="minorEastAsia"/>
                <w:b/>
                <w:sz w:val="20"/>
                <w:szCs w:val="20"/>
                <w:u w:val="single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proofErr w:type="spellStart"/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86BDF">
              <w:rPr>
                <w:rFonts w:eastAsiaTheme="minorEastAsia"/>
                <w:sz w:val="20"/>
                <w:szCs w:val="20"/>
              </w:rPr>
              <w:t>высокая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F932B5">
              <w:rPr>
                <w:rFonts w:eastAsiaTheme="minorEastAsia"/>
                <w:sz w:val="20"/>
                <w:szCs w:val="20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886BDF">
              <w:rPr>
                <w:rFonts w:eastAsiaTheme="minorEastAsia"/>
                <w:b/>
                <w:sz w:val="20"/>
                <w:szCs w:val="20"/>
                <w:u w:val="single"/>
              </w:rPr>
              <w:t>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D04A2E" w:rsidRPr="00D04A2E" w:rsidRDefault="00F932B5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проект акта не содержит положения содержащие запреты и огр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аничения для юридических лиц,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индивидуальных предпринимателей</w:t>
            </w:r>
            <w: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и участников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простого товарищества или способствующих их установлению, а также положения, приводящие к возникновению расходов юридических лиц или индивидуальных предпринимателей в сфере предпринимательской  деятельности, а также не содержит </w:t>
            </w:r>
            <w:proofErr w:type="gramStart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положения</w:t>
            </w:r>
            <w:proofErr w:type="gramEnd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изменяющие ранее предусмотренные законодательством обязанности, запреты и ограничения для юридических лиц или индивидуальных предпринимателей или способствующих их установлению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соблюдение организациями, индивидуальными предпринимателями, гражданами (далее – контролируемые лица) обязательных требований: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1) в области автомобильных дорог и дорожной деятельности, установленных в отношении автомобильных дорог местного значения городского округа «город Клинцы Брянской области» (далее – автомобильные дороги местного значения или автомобильные дороги общего пользования местного значения):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D04A2E" w:rsidRPr="00D04A2E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  <w:proofErr w:type="gramStart"/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D04A2E" w:rsidRPr="00D04A2E" w:rsidRDefault="007D4F98" w:rsidP="007D4F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="008273B9" w:rsidRPr="008273B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23"/>
      <w:bookmarkEnd w:id="1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Клинцовского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F3507A" w:rsidP="00F932B5">
            <w:pPr>
              <w:rPr>
                <w:sz w:val="20"/>
                <w:szCs w:val="20"/>
              </w:rPr>
            </w:pPr>
            <w:r w:rsidRPr="00F3507A">
              <w:rPr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884C27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AC54CA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C54CA">
              <w:rPr>
                <w:rFonts w:eastAsiaTheme="minorEastAsia"/>
                <w:b/>
                <w:sz w:val="20"/>
                <w:szCs w:val="20"/>
                <w:u w:val="single"/>
              </w:rPr>
              <w:t>проведение контрольных мероприятий в рамках действующего законодательства</w:t>
            </w:r>
            <w:r w:rsidR="00A36130"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. 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D04A2E" w:rsidRPr="00D04A2E" w:rsidRDefault="004027FD" w:rsidP="00F35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п</w:t>
            </w:r>
            <w:r w:rsidRPr="004027F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овышение качества предоставления </w:t>
            </w:r>
            <w:r w:rsidR="00F3507A">
              <w:rPr>
                <w:rFonts w:eastAsiaTheme="minorEastAsia"/>
                <w:b/>
                <w:sz w:val="20"/>
                <w:szCs w:val="20"/>
                <w:u w:val="single"/>
              </w:rPr>
              <w:t>услуг</w:t>
            </w:r>
            <w:r w:rsidRPr="004027F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F3507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3507A">
              <w:rPr>
                <w:rFonts w:eastAsiaTheme="minorEastAsia"/>
                <w:sz w:val="20"/>
                <w:szCs w:val="20"/>
              </w:rPr>
              <w:t>юриди</w:t>
            </w:r>
            <w:r>
              <w:rPr>
                <w:rFonts w:eastAsiaTheme="minorEastAsia"/>
                <w:sz w:val="20"/>
                <w:szCs w:val="20"/>
              </w:rPr>
              <w:t>ческие лица, индивидуальные предприниматели, граждане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7E72E1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A7098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7A70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7A7098"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</w:t>
            </w:r>
            <w:r w:rsidR="00AC54CA">
              <w:rPr>
                <w:rFonts w:eastAsiaTheme="minorEastAsia"/>
                <w:sz w:val="20"/>
                <w:szCs w:val="20"/>
              </w:rPr>
              <w:t>6. Единовременные расходы в 2020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7A7098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7A7098" w:rsidRDefault="007A709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D04A2E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D" w:rsidRPr="004029DD" w:rsidRDefault="004029DD" w:rsidP="004029DD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029DD">
              <w:rPr>
                <w:sz w:val="20"/>
                <w:szCs w:val="20"/>
              </w:rPr>
              <w:t>- Риски в связи с нарушением органом муниципального контроля (должностными лицами органа муниципального контроля) действующего законодательства, прав и/или законных интересов при проведении мероприятий по контролю.</w:t>
            </w:r>
          </w:p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F3507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F3507A">
              <w:rPr>
                <w:rFonts w:eastAsiaTheme="minorEastAsia"/>
                <w:sz w:val="20"/>
                <w:szCs w:val="20"/>
              </w:rPr>
              <w:t>февраль 2022</w:t>
            </w:r>
            <w:r w:rsidR="007D4F98">
              <w:rPr>
                <w:rFonts w:eastAsiaTheme="minorEastAsia"/>
                <w:sz w:val="20"/>
                <w:szCs w:val="20"/>
              </w:rPr>
              <w:t xml:space="preserve"> года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Публикация постановления Клинцовской городской администрации</w:t>
            </w:r>
            <w:r>
              <w:t xml:space="preserve"> </w:t>
            </w:r>
            <w:r w:rsidR="00AC54CA" w:rsidRPr="00AC54CA">
              <w:rPr>
                <w:sz w:val="20"/>
                <w:szCs w:val="20"/>
              </w:rPr>
              <w:t>«</w:t>
            </w:r>
            <w:r w:rsidR="00F51C33" w:rsidRPr="00F51C33">
              <w:rPr>
                <w:sz w:val="20"/>
                <w:szCs w:val="20"/>
              </w:rPr>
              <w:t>Об утверждении форм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</w:t>
            </w:r>
            <w:r w:rsidR="00F51C33">
              <w:rPr>
                <w:sz w:val="20"/>
                <w:szCs w:val="20"/>
              </w:rPr>
              <w:t xml:space="preserve"> «город Клинцы Брянской области</w:t>
            </w:r>
            <w:r w:rsidR="00AC54CA" w:rsidRPr="00AC54CA">
              <w:rPr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Повышение качества предоставления муниципальной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AC54C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E21693"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F51C33" w:rsidP="00AC5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3507A">
              <w:rPr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Отзывы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математический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F51C3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F51C33">
              <w:rPr>
                <w:rFonts w:eastAsiaTheme="minorEastAsia"/>
                <w:sz w:val="20"/>
                <w:szCs w:val="20"/>
              </w:rPr>
              <w:t>1 февраля 2022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</w:t>
            </w:r>
            <w:r w:rsidR="00F51C33">
              <w:rPr>
                <w:rFonts w:eastAsiaTheme="minorEastAsia"/>
                <w:sz w:val="20"/>
                <w:szCs w:val="20"/>
              </w:rPr>
              <w:t>15 февраля 2022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1533AB">
        <w:rPr>
          <w:rFonts w:eastAsiaTheme="minorEastAsia"/>
          <w:sz w:val="20"/>
          <w:szCs w:val="20"/>
        </w:rPr>
        <w:t>Мельникова Е. 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F51C33">
        <w:rPr>
          <w:rFonts w:eastAsiaTheme="minorEastAsia"/>
          <w:sz w:val="20"/>
          <w:szCs w:val="20"/>
        </w:rPr>
        <w:t xml:space="preserve"> «___» ____________ 2022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5pt;height:.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C02B4"/>
    <w:rsid w:val="00201681"/>
    <w:rsid w:val="00201CDA"/>
    <w:rsid w:val="0022296E"/>
    <w:rsid w:val="00222D74"/>
    <w:rsid w:val="002464DC"/>
    <w:rsid w:val="00286509"/>
    <w:rsid w:val="003767C6"/>
    <w:rsid w:val="0037711A"/>
    <w:rsid w:val="003A0121"/>
    <w:rsid w:val="004027FD"/>
    <w:rsid w:val="004029DD"/>
    <w:rsid w:val="004200C3"/>
    <w:rsid w:val="00423698"/>
    <w:rsid w:val="00453771"/>
    <w:rsid w:val="00494E97"/>
    <w:rsid w:val="004A2C69"/>
    <w:rsid w:val="004A6C04"/>
    <w:rsid w:val="00500F5A"/>
    <w:rsid w:val="005016AB"/>
    <w:rsid w:val="00535DC8"/>
    <w:rsid w:val="005743F5"/>
    <w:rsid w:val="00574EB2"/>
    <w:rsid w:val="00576BFF"/>
    <w:rsid w:val="00581006"/>
    <w:rsid w:val="00613C1B"/>
    <w:rsid w:val="00695121"/>
    <w:rsid w:val="006B1BA4"/>
    <w:rsid w:val="006E2ED1"/>
    <w:rsid w:val="00711EA9"/>
    <w:rsid w:val="007864C5"/>
    <w:rsid w:val="007A7098"/>
    <w:rsid w:val="007D0EC0"/>
    <w:rsid w:val="007D42F5"/>
    <w:rsid w:val="007D4F98"/>
    <w:rsid w:val="007E72E1"/>
    <w:rsid w:val="00815420"/>
    <w:rsid w:val="008273B9"/>
    <w:rsid w:val="00884C27"/>
    <w:rsid w:val="00886BDF"/>
    <w:rsid w:val="008A33FC"/>
    <w:rsid w:val="008E379B"/>
    <w:rsid w:val="009067C3"/>
    <w:rsid w:val="009415D6"/>
    <w:rsid w:val="009A0A90"/>
    <w:rsid w:val="009D6B68"/>
    <w:rsid w:val="009F3A25"/>
    <w:rsid w:val="009F5EF2"/>
    <w:rsid w:val="00A355BF"/>
    <w:rsid w:val="00A36130"/>
    <w:rsid w:val="00AC54CA"/>
    <w:rsid w:val="00B368B5"/>
    <w:rsid w:val="00B41748"/>
    <w:rsid w:val="00B8577B"/>
    <w:rsid w:val="00C46761"/>
    <w:rsid w:val="00C77766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3507A"/>
    <w:rsid w:val="00F51C33"/>
    <w:rsid w:val="00F54754"/>
    <w:rsid w:val="00F932B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CAE7-0BD9-48EA-A565-E82B0CC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Люда</cp:lastModifiedBy>
  <cp:revision>2</cp:revision>
  <cp:lastPrinted>2016-02-26T10:09:00Z</cp:lastPrinted>
  <dcterms:created xsi:type="dcterms:W3CDTF">2022-02-02T07:22:00Z</dcterms:created>
  <dcterms:modified xsi:type="dcterms:W3CDTF">2022-02-02T07:22:00Z</dcterms:modified>
</cp:coreProperties>
</file>